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મોર્ટગેજ પ્રોપર્ટીના વેચાણ પછી બેલેન્સ માટે વ્યક્તિગત રીતે મોર્ટગેગર સામે હુકમનામું (ઓર્ડર Xxxiv, નિયમો 6 અને 8a).</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ગીરોદારની અરજી વાંચીને (વાદી અથવા પ્રતિવાદી, જેમ કે કેસ હોઈ શકે) અને તે દિવસે દાવોમાં પસાર થયેલ અંતિમ હુકમનામું વાંચીને અને કોર્ટ સંતુષ્ટ થાય કે ઉપરોક્ત અંતિમ હુકમનામું હેઠળ રાખવામાં આવેલ વેચાણની ચોખ્ખી આવક રૂ. ............ ની રકમ અને અરજદારને કોર્ટની બહાર તે દિવસે ચૂકવવામાં આવી છે અને ઉપરોક્ત હુકમનામા હેઠળ હવે તેની બાકી રહેતી બાકી રકમ છે ...... .......;</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કોર્ટને એવું જણાય છે કે ઉક્ત રકમ ગીરો (વાદી અથવા પ્રતિવાદી, જેમ કે કેસ હોઈ શકે) વ્યક્તિગત રીતે કાયદેસર રીતે વસૂલ કરી શકાય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તે આથી નીચે મુજબ આદેશ અને હુકમ કરવામાં આવે છે: -</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bookmarkStart w:colFirst="0" w:colLast="0" w:name="_heading=h.gjdgxs" w:id="0"/>
      <w:bookmarkEnd w:id="0"/>
      <w:sdt>
        <w:sdtPr>
          <w:tag w:val="goog_rdk_5"/>
        </w:sdtPr>
        <w:sdtContent>
          <w:r w:rsidDel="00000000" w:rsidR="00000000" w:rsidRPr="00000000">
            <w:rPr>
              <w:rFonts w:ascii="Mukta Vaani" w:cs="Mukta Vaani" w:eastAsia="Mukta Vaani" w:hAnsi="Mukta Vaani"/>
              <w:color w:val="000000"/>
              <w:sz w:val="20"/>
              <w:szCs w:val="20"/>
              <w:rtl w:val="0"/>
            </w:rPr>
            <w:t xml:space="preserve">કે ગીરોદાર (વાદી અથવા પ્રતિવાદી, જેમ બને તેમ) ગીરોદાર (પ્રતિવાદી અથવા વાદી, જેમ બને તેમ) ને રૂ. .............. ની રકમ ચૂકવે છે. આ રકમની વસૂલાતની તારીખ અને આ અરજીના ખર્ચના દિવસથી (ઉપર ઉલ્લેખિત અદાલતની બહાર ચુકવણીની તારીખ) છ ટકાના દરે વધુ વ્યાજ.</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OGmwQ5qYRx94o0SzlsmZCoYbdQ==">CgMxLjAaHwoBMBIaChgIB0IUCgVBcmlhbBILTXVrdGEgVmFhbmkaHwoBMRIaChgIB0IUCgVBcmlhbBILTXVrdGEgVmFhbmkaHwoBMhIaChgIB0IUCgVBcmlhbBILTXVrdGEgVmFhbmkaHwoBMxIaChgIB0IUCgVBcmlhbBILTXVrdGEgVmFhbmkaHwoBNBIaChgIB0IUCgVBcmlhbBILTXVrdGEgVmFhbmkaHwoBNRIaChgIB0IUCgVBcmlhbBILTXVrdGEgVmFhbmkyCGguZ2pkZ3hzOAByITFoQ29uYVl2dEpEbHAtdG1XRnRoNzJGbkp5Zm9oTFB6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2019-07-21T07:28:00Z</dcterms:created>
  <dc:creator>Viraj</dc:creator>
</cp:coreProperties>
</file>